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393D12" w:rsidP="003926CC">
      <w:pPr>
        <w:spacing w:after="480"/>
        <w:jc w:val="center"/>
        <w:rPr>
          <w:b/>
          <w:bCs/>
          <w:sz w:val="40"/>
          <w:szCs w:val="40"/>
        </w:rPr>
      </w:pPr>
      <w:bookmarkStart w:id="0" w:name="_GoBack"/>
      <w:bookmarkEnd w:id="0"/>
      <w:r w:rsidRPr="00393D12">
        <w:rPr>
          <w:b/>
          <w:sz w:val="40"/>
          <w:szCs w:val="40"/>
        </w:rPr>
        <w:t>USNESENÍ</w:t>
      </w:r>
      <w:r w:rsidR="00F11093">
        <w:rPr>
          <w:b/>
          <w:bCs/>
          <w:sz w:val="40"/>
          <w:szCs w:val="40"/>
        </w:rPr>
        <w:br/>
      </w:r>
      <w:r w:rsidR="00F11093" w:rsidRPr="00F11093">
        <w:rPr>
          <w:bCs/>
          <w:sz w:val="20"/>
        </w:rPr>
        <w:t>(anonymizovaný opis)</w:t>
      </w:r>
    </w:p>
    <w:p w:rsidR="007E1BB1" w:rsidRDefault="007E1BB1" w:rsidP="001B59E0"/>
    <w:p w:rsidR="007E1BB1" w:rsidRDefault="007E1BB1" w:rsidP="001B59E0"/>
    <w:p w:rsidR="004A5914" w:rsidRPr="001B59E0" w:rsidRDefault="001B59E0" w:rsidP="001B59E0">
      <w:r w:rsidRPr="001B59E0">
        <w:t xml:space="preserve">Krajský soud v Plzni rozhodl v neveřejném zasedání konaném dne 1. 12. 2021 v trestní věci odsouzené </w:t>
      </w:r>
      <w:r>
        <w:t>[</w:t>
      </w:r>
      <w:r w:rsidRPr="001B59E0">
        <w:rPr>
          <w:shd w:val="clear" w:color="auto" w:fill="CCCCCC"/>
        </w:rPr>
        <w:t>údaje o účastníkovi</w:t>
      </w:r>
      <w:r w:rsidRPr="001B59E0">
        <w:t>]</w:t>
      </w:r>
    </w:p>
    <w:p w:rsidR="00F11093" w:rsidRDefault="00F11093" w:rsidP="008A0B5D">
      <w:pPr>
        <w:pStyle w:val="Nadpisstirozsudku"/>
      </w:pPr>
      <w:r w:rsidRPr="00F11093">
        <w:t>takto</w:t>
      </w:r>
      <w:r>
        <w:t>:</w:t>
      </w:r>
    </w:p>
    <w:p w:rsidR="007E1BB1" w:rsidRDefault="007E1BB1" w:rsidP="008A0B5D">
      <w:pPr>
        <w:pStyle w:val="Nadpisstirozsudku"/>
      </w:pPr>
    </w:p>
    <w:p w:rsidR="008A0B5D" w:rsidRPr="001B59E0" w:rsidRDefault="001B59E0" w:rsidP="001B59E0">
      <w:r w:rsidRPr="001B59E0">
        <w:t xml:space="preserve">Ke stížnosti odsouzené </w:t>
      </w:r>
      <w:r>
        <w:t>[</w:t>
      </w:r>
      <w:r w:rsidRPr="001B59E0">
        <w:rPr>
          <w:shd w:val="clear" w:color="auto" w:fill="CCCCCC"/>
        </w:rPr>
        <w:t>jméno</w:t>
      </w:r>
      <w:r w:rsidRPr="001B59E0">
        <w:t xml:space="preserve">] </w:t>
      </w:r>
      <w:r>
        <w:t>[</w:t>
      </w:r>
      <w:r w:rsidRPr="001B59E0">
        <w:rPr>
          <w:shd w:val="clear" w:color="auto" w:fill="CCCCCC"/>
        </w:rPr>
        <w:t>příjmení</w:t>
      </w:r>
      <w:r w:rsidRPr="001B59E0">
        <w:t>] se podle § 149 odst. 1 písm. b) trestního řádu ruší usnesení Okresního soudu Plzeň-sever ze dne 19. 10. 2021, č. j. 22 T 10/2020-492 a okresnímu soudu se ukládá, aby o věci znovu jednal a rozhodl.</w:t>
      </w:r>
    </w:p>
    <w:p w:rsidR="008A0B5D" w:rsidRDefault="008A0B5D" w:rsidP="008A0B5D">
      <w:pPr>
        <w:pStyle w:val="Nadpisstirozsudku"/>
      </w:pPr>
      <w:r>
        <w:t>Odůvodnění:</w:t>
      </w:r>
    </w:p>
    <w:p w:rsidR="007E1BB1" w:rsidRDefault="007E1BB1" w:rsidP="008A0B5D">
      <w:pPr>
        <w:pStyle w:val="Nadpisstirozsudku"/>
      </w:pPr>
    </w:p>
    <w:p w:rsidR="001B59E0" w:rsidRDefault="001B59E0" w:rsidP="001B59E0">
      <w:r w:rsidRPr="001B59E0">
        <w:t xml:space="preserve">1. Napadeným usnesením Okresního soudu Plzeň-sever bylo pod bodem I. výroku rozhodnuto tak, že podle § 155 odst. 4 ve spojení s § 154 odst. 1 trestního řádu je odsouzená </w:t>
      </w:r>
      <w:r>
        <w:t>[</w:t>
      </w:r>
      <w:r w:rsidRPr="001B59E0">
        <w:rPr>
          <w:shd w:val="clear" w:color="auto" w:fill="CCCCCC"/>
        </w:rPr>
        <w:t>jméno</w:t>
      </w:r>
      <w:r w:rsidRPr="001B59E0">
        <w:t xml:space="preserve">] </w:t>
      </w:r>
      <w:r>
        <w:t>[</w:t>
      </w:r>
      <w:r w:rsidRPr="001B59E0">
        <w:rPr>
          <w:shd w:val="clear" w:color="auto" w:fill="CCCCCC"/>
        </w:rPr>
        <w:t>příjmení</w:t>
      </w:r>
      <w:r w:rsidRPr="001B59E0">
        <w:t xml:space="preserve">] povinna nahradit poškozené </w:t>
      </w:r>
      <w:r>
        <w:t>[</w:t>
      </w:r>
      <w:r w:rsidRPr="001B59E0">
        <w:rPr>
          <w:shd w:val="clear" w:color="auto" w:fill="CCCCCC"/>
        </w:rPr>
        <w:t>jméno</w:t>
      </w:r>
      <w:r w:rsidRPr="001B59E0">
        <w:t xml:space="preserve">] </w:t>
      </w:r>
      <w:r>
        <w:t>[</w:t>
      </w:r>
      <w:r w:rsidRPr="001B59E0">
        <w:rPr>
          <w:shd w:val="clear" w:color="auto" w:fill="CCCCCC"/>
        </w:rPr>
        <w:t>příjmení</w:t>
      </w:r>
      <w:r w:rsidRPr="001B59E0">
        <w:t xml:space="preserve">] náklady potřebné k účelnému uplatnění nároku na náhradu škody či nemajetkové újmy v trestním řízení, a to včetně nákladů vzniklých přibráním zmocněnce, v celkové výši 96 219,20 Kč. Pod bodem II. výroku napadeného usnesení bylo rozhodnuto tak, že se návrh poškozené </w:t>
      </w:r>
      <w:r>
        <w:t>[</w:t>
      </w:r>
      <w:r w:rsidRPr="001B59E0">
        <w:rPr>
          <w:shd w:val="clear" w:color="auto" w:fill="CCCCCC"/>
        </w:rPr>
        <w:t>jméno</w:t>
      </w:r>
      <w:r w:rsidRPr="001B59E0">
        <w:t xml:space="preserve">] </w:t>
      </w:r>
      <w:r>
        <w:t>[</w:t>
      </w:r>
      <w:r w:rsidRPr="001B59E0">
        <w:rPr>
          <w:shd w:val="clear" w:color="auto" w:fill="CCCCCC"/>
        </w:rPr>
        <w:t>příjmení</w:t>
      </w:r>
      <w:r w:rsidRPr="001B59E0">
        <w:t>], aby byla odsouzené uložena povinnost nahradit poškozené náklady potřebné k účelnému uplatnění nároku na náhradu škody, či nemajetkové újmy v trestním řízení co do částky 27 491,20 Kč zamítá.</w:t>
      </w:r>
    </w:p>
    <w:p w:rsidR="001B59E0" w:rsidRDefault="001B59E0" w:rsidP="001B59E0">
      <w:r w:rsidRPr="001B59E0">
        <w:t xml:space="preserve">2. Odsouzená proti napadenému usnesení brojila včasně podanou stížností, kterou odůvodnila. Uvedla, že okresní soud postupoval podle pokynů zdejšího soudu, ale důsledně neprovedl šetření ve vztahu k tomu, že poškozené byly uhrazeny její oprávněné nároky pojišťovnou Generali Česká pojišťovna, a. s., a to ve věci škodní události vedené pod </w:t>
      </w:r>
      <w:r>
        <w:t>[</w:t>
      </w:r>
      <w:r w:rsidRPr="001B59E0">
        <w:rPr>
          <w:shd w:val="clear" w:color="auto" w:fill="CCCCCC"/>
        </w:rPr>
        <w:t>číslo</w:t>
      </w:r>
      <w:r w:rsidRPr="001B59E0">
        <w:t>]. Poškozená se pak měla se svými nároky obrátit na řízení ve věcech občanskoprávních, kde pojišťovna vystupuje jako vedlejší účastník. Dále uvedla, že by bylo možné polemizovat o tom, zda byla účast zmocněnce na trestním řízení nutná. Závěrem navrhla zrušení napadeného usnesení.</w:t>
      </w:r>
    </w:p>
    <w:p w:rsidR="001B59E0" w:rsidRDefault="001B59E0" w:rsidP="001B59E0">
      <w:r w:rsidRPr="001B59E0">
        <w:t>3. Krajský soud v Plzni jako soud nadřízený Okresnímu soudu Plzeň-sever přezkoumal v souladu s § 147 odst. 1 trestního řádu správnost výroku napadeného usnesení i řízení předcházející jeho vydání. Dospěl k tomu, že napadené usnesení nemůže obstát.</w:t>
      </w:r>
    </w:p>
    <w:p w:rsidR="001B59E0" w:rsidRDefault="001B59E0" w:rsidP="001B59E0">
      <w:r w:rsidRPr="001B59E0">
        <w:t xml:space="preserve">4. Předně je nutno konstatovat, že zdejší soud ve věci již jednou rozhodoval, a to svým usnesením ze dne 8. 9. 2021, č. j. 6 To 216/2021-487, kterým podle § 149 odst. 1 písm. b) trestního řádu zrušil usnesení Okresního soudu Plzeň-sever ze dne 26. 7. 2021, č. j. 22 T 10/2020-476 a okresnímu soudu uložil, aby o věci znovu jednal a rozhodl. Důvodem byla jednak vadná formulace výrokové části napadeného usnesení, jednak nesprávně stanovená výše nákladů poškozené potřebných k účelnému uplatnění nároku na náhradu škody, a jednak nedostatečné odůvodnění napadeného usnesení. Krajský soud okresnímu soudu uložil, aby se v dalším řízení dostatečně zabýval potřebností a účelností jednotlivých úkonů právní služby, které zmocněnec poškozené provedl. V této souvislosti se měl zaměřit i na to, zda v projednávané věci nepřichází v úvahu aplikovat horní limit pro odměnu zmocněnce za jeden úkon právní služby uvedený v § 12a odst. 2 AT. Dále mu uložil, aby vzal v úvahu i námitku odsouzené, že náklady </w:t>
      </w:r>
      <w:r w:rsidRPr="001B59E0">
        <w:lastRenderedPageBreak/>
        <w:t>poškozené (včetně nákladů zmocněnce) měly již být likvidovány pojišťovnou Generali Česká pojišťovna, a. s. V této souvislosti si měl vyžádat nejen stanovisko poškozené, ale i předmětné pojišťovny, případně i další listiny, pokud by to uznal za vhodné. Následně měl ve věci znovu rozhodnout, přičemž se při formulaci výroků měl striktně držet znění zákonných ustanovení, podle kterých bude rozhodovat, měl opravit datum narození odsouzené a konečně měl své rozhodnutí ve smyslu § 134 odst. 2 trestního řádu přesvědčivě a úplně odůvodnit. Lze pak konstatovat, že okresní soud splnil pokyny zdejšího soudu pouze částečně.</w:t>
      </w:r>
    </w:p>
    <w:p w:rsidR="001B59E0" w:rsidRDefault="001B59E0" w:rsidP="001B59E0">
      <w:r w:rsidRPr="001B59E0">
        <w:t>5. Výrok napadeného usnesení již nevykazuje formulační vady, které vykazoval výrok uvedený v usnesení Okresního soudu Plzeň-sever ze dne 26. 7. 2021, č. j. 22 T 10/2020-476. I přesto není bezvadný. Zcela nadbytečně se ve výroku pod bodem I. i II. napadeného usnesení vyskytuje odkaz na„ nemajetkovou újmu“, přestože rozsudkem Okresního soudu Plzeň-sever ze dne 18. 5. 2020, č. j. 22 T 10/2020-395, který nabyl právní moci dne 23. 7. 2020, bylo odsouzené uloženo, aby poškozené nahradila škodu. Jde však jen o formulační vadu, která by nemohla zapříčinit zrušení napadeného usnesení.</w:t>
      </w:r>
    </w:p>
    <w:p w:rsidR="001B59E0" w:rsidRDefault="001B59E0" w:rsidP="001B59E0">
      <w:r w:rsidRPr="001B59E0">
        <w:t>6. Okresní soud se již v odůvodnění napadeného usnesení zabýval účelností a potřebností jednotlivých úkonů právní služby provedených zmocněncem poškozené. Zvážil i aplikaci horního limitu pro odměnu zmocněnce za jeden úkon právní služby uvedeného v § 12a odst. 2 vyhlášky č. 177/1996 Sb., o odměnách advokátů za poskytování právních služeb (dále jen jako„ AT“). Dospěl k závěru, že to není v projednávané věci vhodné, neboť odsouzené byl uložen trest odnětí svobody s podmíněným odkladem výkonu, a tedy má možnost mít zaměstnání či jiný příjem, který jí umožní uhradit náklady poškozené, byť možná postupně ve splátkách. Celková výše nákladů, kterou je odsouzená povinna poškozené nahradit, přitom není podle okresního soudu zcela nepřiměřená výši přiznané náhrady újmy způsobené trestným činem odsouzené a rovněž výše nákladů nedosahuje takové částky, která by měla být pro odsouzenou likvidační vzhledem k jejímu věku a možnostem výdělků. Taková argumentace však není podle zdejšího soudu zcela přiléhavá.</w:t>
      </w:r>
    </w:p>
    <w:p w:rsidR="001B59E0" w:rsidRDefault="001B59E0" w:rsidP="001B59E0">
      <w:r w:rsidRPr="001B59E0">
        <w:t>7. Předně je nutno zopakovat, že okresní soud stanovil výši odměny zmocněnce v souladu s § 10 odst. 5 AT, přičemž pro podrobnější argumentaci se pro stručnost v tomto ohledu odkazuje na odstavec 11. a 12. odůvodnění usnesení zdejšího soudu ze dne 8. 9. 2021, č. j. 6 To 216/2021-487. Podle ustálené judikatury Ústavního soudu ČR (viz např. jeho usnesení ze dne ze dne 29. 5. 2018, sp. zn. IV. ÚS 3103/17) lze pak v odůvodněných případech pro odměnu zvoleného zmocněnce aplikovat horní limit uvedený v § 12a odst. 2 AT, a to v rámci posouzení potřebnosti nákladů poškozeného k účelnému uplatnění jeho nároku ve smyslu § 154 odst. 1 trestního řádu. Hlediskem pro takové posouzení je podle Ústavního soudu ČR nejen poměr celkové výše nákladů poškozeného k celkové výši přiznaného nároku, což okresní soud správně uvedl, ale i rozdíl mezi odměnou zvoleného zmocněnce a odměnou ustanoveného zmocněnce za stejné úkony právní služby ve stejné věci, který by neměl být nedůvodně disproporční. Na toto posouzení však okresní soud v odůvodnění napadeného usnesení zcela rezignoval.</w:t>
      </w:r>
    </w:p>
    <w:p w:rsidR="007E1BB1" w:rsidRDefault="001B59E0" w:rsidP="001B59E0">
      <w:r w:rsidRPr="001B59E0">
        <w:t xml:space="preserve">8. Nevysvětlil tak, z jakých důvodů bylo v projednávané věci k účelnému uplatnění nároku poškozené potřebné, aby odměna jejího zvoleného zmocněnce za jeden úkon právní služby činila 11 060 Kč, když odměna ustanoveného zmocněnce za jeden úkon právní služby by v projednávané věci činila pouze 5 000 Kč (tedy o více než polovinu méně). Jinými slovy okresní soud vůbec nevysvětlil důvod takto zásadní disproporce mezi odměnou zvoleného a ustanoveného zmocněnce v projednávané věci. Nutno připomenout, že rozdíl mezi zvoleným a ustanoveným zmocněncem je v podstatě pouze ve způsobu instalace zmocněnce do trestního řízení. Zvolený zmocněnec vystupuje v trestním řízení na základě plné moci poškozené a ustanovený zmocněnec na základě rozhodnutí soudu. Pokud má být zvolenému zmocněnci na odměně za jeden úkon právní služby přiznán více než dvojnásobek částky, která by byla ve stejném případě přiznána zmocněnci ustanovenému, je nutno to vysvětlit. Zdejší soud však v posuzované věci nenašel žádný rozumný důvod pro to, aby byl zmocněnci poškozené na </w:t>
      </w:r>
    </w:p>
    <w:p w:rsidR="007E1BB1" w:rsidRDefault="007E1BB1" w:rsidP="001B59E0"/>
    <w:p w:rsidR="007E1BB1" w:rsidRDefault="007E1BB1" w:rsidP="001B59E0"/>
    <w:p w:rsidR="001B59E0" w:rsidRDefault="001B59E0" w:rsidP="001B59E0">
      <w:r w:rsidRPr="001B59E0">
        <w:t>odměně za jeden úkon právní služby přiznán více než dvojnásobek částky, na kterou by měl v této věci nárok ustanovený zmocněnec. V projednávané věci je proto nutno aplikovat horní limit pro odměnu zmocněnce za jeden úkon právní služby ve výši 5 000 Kč uvedený v § 12a odst. 2 AT.</w:t>
      </w:r>
    </w:p>
    <w:p w:rsidR="001B59E0" w:rsidRDefault="001B59E0" w:rsidP="001B59E0">
      <w:r w:rsidRPr="001B59E0">
        <w:t>9. Pokud jde o majetkovou situaci odsouzené, kterou okresní soud v odůvodnění napadeného usnesení rovněž argumentoval, tak ta není v projednávané věci vůbec relevantní. I pokud by totiž odsouzená neměla dostatek prostředků k uhrazení nákladů poškozené, byla by i přesto povinna je nahradit. Není totiž možné v případě uvedeném v § 154 odst. 1 trestního řádu po poškozeném požadovat, aby si hradil náklady potřebné k účelnému uplatnění svého nároku na náhradu škody, nemajetkové újmy nebo na vydání bezdůvodného obohacení z důvodu, že odsouzené osobě nahrazení takových nákladů neumožňuje její majetková situace. Takové kritérium totiž není v předmětném zákonném ustanovení vůbec upraveno. V případě uvedeném v § 154 odst. 1 trestního řádu je pro stanovení výše nákladů poškozeného nutno (zjednodušeně řečeno) posoudit pouze to, zda šlo o náklady potřebné k účelnému uplatnění jeho nároku.</w:t>
      </w:r>
    </w:p>
    <w:p w:rsidR="001B59E0" w:rsidRDefault="001B59E0" w:rsidP="001B59E0">
      <w:r w:rsidRPr="001B59E0">
        <w:t>10. Výše uvedená vada by nicméně byla ve stížnostním řízení odstranitelná. Vadu, kterou ale krajský soud ve stížnostním řízení již odstranit nemohl, spočívá v tom, se okresní soud v rozporu s pokynem zdejšího soudu vůbec (ani v odůvodnění napadeného usnesení) nezabýval námitkou odsouzené, že náklady poškozené (včetně nákladů zmocněnce) měly již být likvidovány pojišťovnou Generali Česká pojišťovna, a. s. V této souvislosti ani neprovedl žádné šetření, když od předmětné pojišťovny nevyžádal potřebné stanovisko k věci, přičemž stanovisko poškozené již k dispozici měl, a to ve formě vyjádření ke stížnosti (č. l. 483).</w:t>
      </w:r>
    </w:p>
    <w:p w:rsidR="001B59E0" w:rsidRDefault="001B59E0" w:rsidP="001B59E0">
      <w:r w:rsidRPr="001B59E0">
        <w:t>11. Výše uvedený postup okresního soudu pak nelze v žádném ohledu přijmout. Nalézací soud je totiž podle § 149 odst. 6 trestního řádu povinen splnit všechny pokyny, které mu stížnostní soud nařídí provést. Pokud by nebylo možné určitý pokyn stížnostního soudu splnit, musí to nalézací soud v odůvodnění svého usnesení řádně vysvětlit. Tomu však okresní soud v posuzované věci nedostál. Napadené usnesení tak nemůže obstát. Odsouzená navíc svou námitku, kterou se měl okresní soud podle závazného pokynu zdejšího soudu zabývat, zopakovala. Stížnostní soud pak nebude suplovat činnost nalézacího soudu tím, že si sám své pokyny splní. Není to totiž jeho úlohou.</w:t>
      </w:r>
    </w:p>
    <w:p w:rsidR="001B59E0" w:rsidRDefault="001B59E0" w:rsidP="001B59E0">
      <w:r w:rsidRPr="001B59E0">
        <w:t xml:space="preserve">12. Napadené usnesení proto muselo být s ohledem na výše uvedené podle § 149 odst. 1 písm. b) trestního řádu zrušeno a zároveň bylo okresnímu soudu uloženo, aby o věci znovu jednal a rozhodl. V dalším řízení pak okresní soud předně splní závazný pokyn zdejšího soudu uvedený v jeho usnesení ze dne 8. 9. 2021, č. j. 6 To 216/2021-487. Tedy se bude výslovně zabývat námitkou odsouzené, že náklady poškozené (včetně nákladů zmocněnce) měly již být likvidovány pojišťovnou Generali Česká pojišťovna, a. s., a to ve věci škodní události vedené pod </w:t>
      </w:r>
      <w:r>
        <w:t>[</w:t>
      </w:r>
      <w:r w:rsidRPr="001B59E0">
        <w:rPr>
          <w:shd w:val="clear" w:color="auto" w:fill="CCCCCC"/>
        </w:rPr>
        <w:t>číslo</w:t>
      </w:r>
      <w:r w:rsidRPr="001B59E0">
        <w:t>]. Vyžádá si proto stanovisko předmětné pojišťovny, případně zváží i obstarání dalších listin, pokud to uzná za vhodné. Následně okresní soud ve věci vydá další rozhodnutí, v rámci kterého mimo jiné aplikuje horní limit pro odměnu zmocněnce za jeden úkon právní služby ve výši 5 000 Kč uvedený v § 12a odst. 2 AT. Nové rozhodnutí ve věci již samozřejmě bude odpovídat všem hlediskům uvedeným jednak v usnesení krajského soudu ze dne 8. 9. 2021, č. j. 6 To 216/2021-487, jednak v tomto usnesení a jednak i v § 134 odst. 2 trestního řádu.</w:t>
      </w:r>
    </w:p>
    <w:p w:rsidR="00F11093" w:rsidRDefault="001B59E0" w:rsidP="001B59E0">
      <w:r w:rsidRPr="001B59E0">
        <w:t>13. Pro úplnost je nutno opakovaně připomenout, že okresní soud je v dalším řízení podle § 150 odst. 1, odst. 3 trestního řádu vázán zákazem reformationis in peius, neboť proti napadenému usnesení podala stížnost pouze odsouzená.</w:t>
      </w:r>
    </w:p>
    <w:p w:rsidR="007E1BB1" w:rsidRDefault="007E1BB1" w:rsidP="001B59E0"/>
    <w:p w:rsidR="007E1BB1" w:rsidRDefault="007E1BB1" w:rsidP="001B59E0"/>
    <w:p w:rsidR="008A0B5D" w:rsidRDefault="008A0B5D" w:rsidP="008A0B5D">
      <w:pPr>
        <w:pStyle w:val="Nadpisstirozsudku"/>
      </w:pPr>
      <w:r>
        <w:t>Poučení:</w:t>
      </w:r>
    </w:p>
    <w:p w:rsidR="006B14EC" w:rsidRPr="001B59E0" w:rsidRDefault="001B59E0" w:rsidP="001B59E0">
      <w:r w:rsidRPr="001B59E0">
        <w:t>Proti tomuto rozhodnutí není přípustný další řádný opravný prostředek.</w:t>
      </w:r>
    </w:p>
    <w:p w:rsidR="006B14EC" w:rsidRPr="001F0625" w:rsidRDefault="001B59E0" w:rsidP="006B14EC">
      <w:pPr>
        <w:keepNext/>
        <w:spacing w:before="960"/>
        <w:rPr>
          <w:szCs w:val="22"/>
        </w:rPr>
      </w:pPr>
      <w:r>
        <w:rPr>
          <w:szCs w:val="22"/>
        </w:rPr>
        <w:t>Plzeň</w:t>
      </w:r>
      <w:r w:rsidR="006B14EC" w:rsidRPr="001F0625">
        <w:rPr>
          <w:szCs w:val="22"/>
        </w:rPr>
        <w:t xml:space="preserve"> </w:t>
      </w:r>
      <w:r>
        <w:t>1. prosince 2021</w:t>
      </w:r>
    </w:p>
    <w:p w:rsidR="006B69A5" w:rsidRDefault="001B59E0" w:rsidP="00845CC2">
      <w:pPr>
        <w:keepNext/>
        <w:spacing w:before="480"/>
        <w:jc w:val="left"/>
      </w:pPr>
      <w:r>
        <w:t>JUDr. Pavel Fait</w:t>
      </w:r>
      <w:r w:rsidR="007E1BB1">
        <w:t xml:space="preserve"> v. r.</w:t>
      </w:r>
      <w:r w:rsidR="006B14EC">
        <w:br/>
      </w:r>
      <w:r>
        <w:t>předseda senátu</w:t>
      </w:r>
    </w:p>
    <w:sectPr w:rsidR="006B69A5" w:rsidSect="00B8311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1A8" w:rsidRDefault="00DF61A8" w:rsidP="00B83118">
      <w:pPr>
        <w:spacing w:after="0"/>
      </w:pPr>
      <w:r>
        <w:separator/>
      </w:r>
    </w:p>
  </w:endnote>
  <w:endnote w:type="continuationSeparator" w:id="0">
    <w:p w:rsidR="00DF61A8" w:rsidRDefault="00DF61A8"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59E0" w:rsidRDefault="001B59E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59E0" w:rsidRDefault="001B59E0">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59E0" w:rsidRDefault="001B59E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1A8" w:rsidRDefault="00DF61A8" w:rsidP="00B83118">
      <w:pPr>
        <w:spacing w:after="0"/>
      </w:pPr>
      <w:r>
        <w:separator/>
      </w:r>
    </w:p>
  </w:footnote>
  <w:footnote w:type="continuationSeparator" w:id="0">
    <w:p w:rsidR="00DF61A8" w:rsidRDefault="00DF61A8"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59E0" w:rsidRDefault="001B59E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D322DA">
      <w:rPr>
        <w:noProof/>
      </w:rPr>
      <w:t>2</w:t>
    </w:r>
    <w:r>
      <w:fldChar w:fldCharType="end"/>
    </w:r>
    <w:r>
      <w:tab/>
    </w:r>
    <w:r w:rsidR="001B59E0">
      <w:t>6 To 291/2021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1B59E0">
      <w:t>6 To 291/2021 - 501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719D4"/>
    <w:rsid w:val="00073A74"/>
    <w:rsid w:val="000A01FA"/>
    <w:rsid w:val="000A2B05"/>
    <w:rsid w:val="000B1A50"/>
    <w:rsid w:val="000C0180"/>
    <w:rsid w:val="000E00A2"/>
    <w:rsid w:val="000F4402"/>
    <w:rsid w:val="001164A3"/>
    <w:rsid w:val="001421E8"/>
    <w:rsid w:val="001514AB"/>
    <w:rsid w:val="001669E1"/>
    <w:rsid w:val="00170070"/>
    <w:rsid w:val="00174606"/>
    <w:rsid w:val="00174B60"/>
    <w:rsid w:val="00176782"/>
    <w:rsid w:val="00176E37"/>
    <w:rsid w:val="001975C8"/>
    <w:rsid w:val="001B59E0"/>
    <w:rsid w:val="001B681D"/>
    <w:rsid w:val="001C30B5"/>
    <w:rsid w:val="001E580C"/>
    <w:rsid w:val="001F35BB"/>
    <w:rsid w:val="001F7B07"/>
    <w:rsid w:val="002013C4"/>
    <w:rsid w:val="002056A2"/>
    <w:rsid w:val="002216DA"/>
    <w:rsid w:val="00225561"/>
    <w:rsid w:val="00233126"/>
    <w:rsid w:val="00234D4F"/>
    <w:rsid w:val="002A77C1"/>
    <w:rsid w:val="002C5F24"/>
    <w:rsid w:val="002D0AD5"/>
    <w:rsid w:val="002F1CEE"/>
    <w:rsid w:val="003111C2"/>
    <w:rsid w:val="00313787"/>
    <w:rsid w:val="00331E8A"/>
    <w:rsid w:val="00361853"/>
    <w:rsid w:val="00383BA9"/>
    <w:rsid w:val="003926CC"/>
    <w:rsid w:val="00393D12"/>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F3881"/>
    <w:rsid w:val="00503B27"/>
    <w:rsid w:val="00503DE4"/>
    <w:rsid w:val="00511351"/>
    <w:rsid w:val="005250A5"/>
    <w:rsid w:val="00537B33"/>
    <w:rsid w:val="00540C15"/>
    <w:rsid w:val="00552EF7"/>
    <w:rsid w:val="00567131"/>
    <w:rsid w:val="00567427"/>
    <w:rsid w:val="00572B7F"/>
    <w:rsid w:val="0057488E"/>
    <w:rsid w:val="005A000B"/>
    <w:rsid w:val="005A4DE1"/>
    <w:rsid w:val="005A6E65"/>
    <w:rsid w:val="005D22A9"/>
    <w:rsid w:val="005D24AF"/>
    <w:rsid w:val="005F1575"/>
    <w:rsid w:val="00604F22"/>
    <w:rsid w:val="00613A5A"/>
    <w:rsid w:val="00617ECD"/>
    <w:rsid w:val="00642671"/>
    <w:rsid w:val="006474FE"/>
    <w:rsid w:val="00654C4F"/>
    <w:rsid w:val="006B14EC"/>
    <w:rsid w:val="006B3C27"/>
    <w:rsid w:val="006B3DFB"/>
    <w:rsid w:val="006B69A5"/>
    <w:rsid w:val="006D2084"/>
    <w:rsid w:val="006F0E2E"/>
    <w:rsid w:val="006F60BD"/>
    <w:rsid w:val="007501FE"/>
    <w:rsid w:val="007516B8"/>
    <w:rsid w:val="00771553"/>
    <w:rsid w:val="007B487E"/>
    <w:rsid w:val="007C71EA"/>
    <w:rsid w:val="007C7CA8"/>
    <w:rsid w:val="007E0BD3"/>
    <w:rsid w:val="007E1BB1"/>
    <w:rsid w:val="007E39CF"/>
    <w:rsid w:val="007F11B7"/>
    <w:rsid w:val="00807782"/>
    <w:rsid w:val="00845CC2"/>
    <w:rsid w:val="008527CE"/>
    <w:rsid w:val="0085450F"/>
    <w:rsid w:val="00856A9C"/>
    <w:rsid w:val="00860D5B"/>
    <w:rsid w:val="008703F5"/>
    <w:rsid w:val="008A029B"/>
    <w:rsid w:val="008A0B5D"/>
    <w:rsid w:val="008B5559"/>
    <w:rsid w:val="008D252B"/>
    <w:rsid w:val="008E0E38"/>
    <w:rsid w:val="008F75B7"/>
    <w:rsid w:val="009163EB"/>
    <w:rsid w:val="0092758B"/>
    <w:rsid w:val="00933274"/>
    <w:rsid w:val="00941B3B"/>
    <w:rsid w:val="00942E4D"/>
    <w:rsid w:val="0094685E"/>
    <w:rsid w:val="00970E18"/>
    <w:rsid w:val="009859E1"/>
    <w:rsid w:val="00993AC7"/>
    <w:rsid w:val="00A26B11"/>
    <w:rsid w:val="00A26CB2"/>
    <w:rsid w:val="00A456BC"/>
    <w:rsid w:val="00A479E4"/>
    <w:rsid w:val="00A7495D"/>
    <w:rsid w:val="00AC2E5F"/>
    <w:rsid w:val="00AC5CE3"/>
    <w:rsid w:val="00B0321B"/>
    <w:rsid w:val="00B27796"/>
    <w:rsid w:val="00B5161D"/>
    <w:rsid w:val="00B83118"/>
    <w:rsid w:val="00BD3335"/>
    <w:rsid w:val="00BD41F9"/>
    <w:rsid w:val="00BE05C2"/>
    <w:rsid w:val="00BE1B45"/>
    <w:rsid w:val="00BE3229"/>
    <w:rsid w:val="00BF04A3"/>
    <w:rsid w:val="00C1541A"/>
    <w:rsid w:val="00C45CC2"/>
    <w:rsid w:val="00C52C00"/>
    <w:rsid w:val="00C57EC6"/>
    <w:rsid w:val="00C70353"/>
    <w:rsid w:val="00C721C5"/>
    <w:rsid w:val="00C7783E"/>
    <w:rsid w:val="00C941D1"/>
    <w:rsid w:val="00CA0B0E"/>
    <w:rsid w:val="00CA3A12"/>
    <w:rsid w:val="00CB30BB"/>
    <w:rsid w:val="00CB4027"/>
    <w:rsid w:val="00CC4728"/>
    <w:rsid w:val="00CD3600"/>
    <w:rsid w:val="00CE2E3A"/>
    <w:rsid w:val="00CE7753"/>
    <w:rsid w:val="00D021FC"/>
    <w:rsid w:val="00D2392F"/>
    <w:rsid w:val="00D322DA"/>
    <w:rsid w:val="00D414F7"/>
    <w:rsid w:val="00D80197"/>
    <w:rsid w:val="00D8162D"/>
    <w:rsid w:val="00DB4AFB"/>
    <w:rsid w:val="00DD6756"/>
    <w:rsid w:val="00DF61A8"/>
    <w:rsid w:val="00E028FD"/>
    <w:rsid w:val="00E102AB"/>
    <w:rsid w:val="00E1676B"/>
    <w:rsid w:val="00E25261"/>
    <w:rsid w:val="00E25ADF"/>
    <w:rsid w:val="00E40A50"/>
    <w:rsid w:val="00E44642"/>
    <w:rsid w:val="00E50664"/>
    <w:rsid w:val="00E77DA8"/>
    <w:rsid w:val="00EA5167"/>
    <w:rsid w:val="00EE024F"/>
    <w:rsid w:val="00EF3778"/>
    <w:rsid w:val="00F024FB"/>
    <w:rsid w:val="00F11093"/>
    <w:rsid w:val="00F240E4"/>
    <w:rsid w:val="00F308CF"/>
    <w:rsid w:val="00F320D0"/>
    <w:rsid w:val="00F3617B"/>
    <w:rsid w:val="00F52F99"/>
    <w:rsid w:val="00F54A66"/>
    <w:rsid w:val="00F66B0F"/>
    <w:rsid w:val="00F72C47"/>
    <w:rsid w:val="00F758AA"/>
    <w:rsid w:val="00F914FF"/>
    <w:rsid w:val="00F9277E"/>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EB05A-FC2E-4882-8847-8856331D4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1629</Words>
  <Characters>9612</Characters>
  <Application>Microsoft Office Word</Application>
  <DocSecurity>0</DocSecurity>
  <Lines>80</Lines>
  <Paragraphs>22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Kuchařová Marcela</dc:creator>
  <cp:lastModifiedBy>Kuchařová Marcela</cp:lastModifiedBy>
  <cp:revision>2</cp:revision>
  <cp:lastPrinted>2018-07-30T21:25:00Z</cp:lastPrinted>
  <dcterms:created xsi:type="dcterms:W3CDTF">2022-10-26T06:43:00Z</dcterms:created>
  <dcterms:modified xsi:type="dcterms:W3CDTF">2022-10-26T06:43:00Z</dcterms:modified>
</cp:coreProperties>
</file>